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4A" w:rsidRDefault="00273C4A">
      <w:pPr>
        <w:pStyle w:val="berschrift1"/>
        <w:jc w:val="center"/>
        <w:rPr>
          <w:caps/>
        </w:rPr>
      </w:pPr>
      <w:bookmarkStart w:id="0" w:name="_Toc500034697"/>
      <w:bookmarkStart w:id="1" w:name="_GoBack"/>
      <w:bookmarkEnd w:id="1"/>
      <w:r>
        <w:rPr>
          <w:caps/>
        </w:rPr>
        <w:t>Einleitung</w:t>
      </w:r>
      <w:bookmarkEnd w:id="0"/>
    </w:p>
    <w:p w:rsidR="00BF5EF2" w:rsidRDefault="00BF5EF2" w:rsidP="00BF5EF2">
      <w:r>
        <w:t>Diese SOP dient der Beschreibung anhand welcher Kriterien Proben zurückgewiesen werden.</w:t>
      </w:r>
    </w:p>
    <w:p w:rsidR="00273C4A" w:rsidRDefault="00BF5EF2">
      <w:r w:rsidRPr="00EE3B5D">
        <w:t xml:space="preserve">Die Proben mit den entsprechenden Anforderungsbelegen werden über </w:t>
      </w:r>
      <w:r>
        <w:t>folgende</w:t>
      </w:r>
      <w:r w:rsidRPr="00EE3B5D">
        <w:t xml:space="preserve"> Annahme</w:t>
      </w:r>
      <w:r>
        <w:t>n</w:t>
      </w:r>
      <w:r w:rsidR="00940EF9">
        <w:t xml:space="preserve"> weiterbearbeitet</w:t>
      </w:r>
      <w:r>
        <w:t>:</w:t>
      </w:r>
    </w:p>
    <w:p w:rsidR="00BF5EF2" w:rsidRDefault="00BF5EF2" w:rsidP="00BF5EF2">
      <w:pPr>
        <w:pStyle w:val="Listenabsatz"/>
        <w:numPr>
          <w:ilvl w:val="0"/>
          <w:numId w:val="2"/>
        </w:numPr>
      </w:pPr>
      <w:r>
        <w:t>5H Zentrale Probenannahme: Aufträge für Corelabor, Hämatologie, Hä</w:t>
      </w:r>
      <w:r w:rsidR="00940EF9">
        <w:t>mostaseologie, Immunologie, Toxi</w:t>
      </w:r>
      <w:r>
        <w:t>kologie und spezielle Hormonanalytik, Genetisches Labor</w:t>
      </w:r>
    </w:p>
    <w:p w:rsidR="00BF5EF2" w:rsidRDefault="00BF5EF2" w:rsidP="00BF5EF2">
      <w:pPr>
        <w:pStyle w:val="Listenabsatz"/>
        <w:numPr>
          <w:ilvl w:val="0"/>
          <w:numId w:val="2"/>
        </w:numPr>
      </w:pPr>
      <w:r>
        <w:t xml:space="preserve">5P Probenannahme: Aufträge für die Mikrobiologie </w:t>
      </w:r>
    </w:p>
    <w:p w:rsidR="00BF5EF2" w:rsidRDefault="00222314" w:rsidP="00BF5EF2">
      <w:pPr>
        <w:pStyle w:val="Listenabsatz"/>
        <w:numPr>
          <w:ilvl w:val="0"/>
          <w:numId w:val="2"/>
        </w:numPr>
      </w:pPr>
      <w:r>
        <w:t>4P Probenannahme</w:t>
      </w:r>
      <w:r w:rsidR="00BF5EF2">
        <w:t>: Aufträge für die Virologie</w:t>
      </w:r>
    </w:p>
    <w:p w:rsidR="00BF5EF2" w:rsidRDefault="00BF5EF2" w:rsidP="00BF5EF2">
      <w:pPr>
        <w:pStyle w:val="Listenabsatz"/>
        <w:numPr>
          <w:ilvl w:val="0"/>
          <w:numId w:val="2"/>
        </w:numPr>
      </w:pPr>
      <w:r>
        <w:t>Probenannahme Kinderklinik: Aufträge der Stationen und Ambulanzen der Kinderklinik</w:t>
      </w:r>
    </w:p>
    <w:p w:rsidR="00273C4A" w:rsidRDefault="00B24363">
      <w:pPr>
        <w:pStyle w:val="berschrift1"/>
        <w:jc w:val="center"/>
        <w:rPr>
          <w:caps/>
        </w:rPr>
      </w:pPr>
      <w:bookmarkStart w:id="2" w:name="_Toc500034702"/>
      <w:r>
        <w:rPr>
          <w:caps/>
        </w:rPr>
        <w:t>Regel</w:t>
      </w:r>
      <w:r w:rsidR="00273C4A">
        <w:rPr>
          <w:caps/>
        </w:rPr>
        <w:t>ungen</w:t>
      </w:r>
      <w:bookmarkEnd w:id="2"/>
    </w:p>
    <w:p w:rsidR="00BF5EF2" w:rsidRDefault="002F4F5E" w:rsidP="00BF5EF2">
      <w:r>
        <w:t xml:space="preserve">Einsendungen werden </w:t>
      </w:r>
      <w:r w:rsidR="006E5521">
        <w:t xml:space="preserve">bei Einlangen an den Probenannahmen </w:t>
      </w:r>
      <w:r>
        <w:t xml:space="preserve">auf Vollständigkeit </w:t>
      </w:r>
      <w:r w:rsidR="006E5521">
        <w:t xml:space="preserve">und Richtigkeit </w:t>
      </w:r>
      <w:r>
        <w:t>überprüft. Alle Probenannahmen weisen Proben aus den folgenden Gründen zurück:</w:t>
      </w:r>
    </w:p>
    <w:p w:rsidR="002E34BC" w:rsidRDefault="002E34BC" w:rsidP="00BF5EF2"/>
    <w:p w:rsidR="006E5521" w:rsidRDefault="006E5521" w:rsidP="006E5521">
      <w:pPr>
        <w:pStyle w:val="Listenabsatz"/>
        <w:numPr>
          <w:ilvl w:val="0"/>
          <w:numId w:val="7"/>
        </w:numPr>
        <w:tabs>
          <w:tab w:val="left" w:pos="8931"/>
        </w:tabs>
        <w:ind w:right="283"/>
      </w:pPr>
      <w:r w:rsidRPr="002E34BC">
        <w:t xml:space="preserve">die Patientenidentifikation nicht gesichert ist, da: </w:t>
      </w:r>
      <w:r w:rsidRPr="002E34BC">
        <w:br/>
        <w:t>a) MAC-Etikett (Patientenetikett mit Barcode) am Beleg fehlt</w:t>
      </w:r>
      <w:r w:rsidRPr="002E34BC">
        <w:br/>
        <w:t>b) der Patientenamen am Beleg und Proben nicht übereinstimmt</w:t>
      </w:r>
      <w:r w:rsidRPr="002E34BC">
        <w:br/>
        <w:t>c) die Auftragsnummer am Beleg und Proben nicht übereinstimmen</w:t>
      </w:r>
    </w:p>
    <w:p w:rsidR="002E34BC" w:rsidRPr="002E34BC" w:rsidRDefault="002E34BC" w:rsidP="002E34BC">
      <w:pPr>
        <w:tabs>
          <w:tab w:val="left" w:pos="8931"/>
        </w:tabs>
        <w:ind w:right="283"/>
      </w:pPr>
    </w:p>
    <w:p w:rsidR="00C42045" w:rsidRPr="002E34BC" w:rsidRDefault="002E34BC" w:rsidP="006E5521">
      <w:pPr>
        <w:pStyle w:val="Listenabsatz"/>
        <w:numPr>
          <w:ilvl w:val="0"/>
          <w:numId w:val="7"/>
        </w:numPr>
        <w:tabs>
          <w:tab w:val="left" w:pos="8931"/>
        </w:tabs>
        <w:ind w:right="283"/>
        <w:rPr>
          <w:rFonts w:ascii="Arial" w:hAnsi="Arial" w:cs="Arial"/>
          <w:sz w:val="26"/>
          <w:szCs w:val="26"/>
        </w:rPr>
      </w:pPr>
      <w:r>
        <w:rPr>
          <w:szCs w:val="24"/>
        </w:rPr>
        <w:t>Zuordnung der Probe nicht möglich ist, da:</w:t>
      </w:r>
      <w:r>
        <w:rPr>
          <w:szCs w:val="24"/>
        </w:rPr>
        <w:br/>
        <w:t>a) keine Anforderung eingelangt ist</w:t>
      </w:r>
      <w:r>
        <w:rPr>
          <w:szCs w:val="24"/>
        </w:rPr>
        <w:br/>
        <w:t>b) auf den Proben keine Auftragsnummer vorhanden ist, die einer Anforderung zuzuordnen ist</w:t>
      </w:r>
    </w:p>
    <w:p w:rsidR="002E34BC" w:rsidRPr="00FF4937" w:rsidRDefault="002E34BC" w:rsidP="00FF4937">
      <w:pPr>
        <w:tabs>
          <w:tab w:val="left" w:pos="8931"/>
        </w:tabs>
        <w:ind w:right="283"/>
      </w:pPr>
    </w:p>
    <w:p w:rsidR="002E34BC" w:rsidRPr="00FF4937" w:rsidRDefault="002E34BC" w:rsidP="006E5521">
      <w:pPr>
        <w:pStyle w:val="Listenabsatz"/>
        <w:numPr>
          <w:ilvl w:val="0"/>
          <w:numId w:val="7"/>
        </w:numPr>
        <w:tabs>
          <w:tab w:val="left" w:pos="8931"/>
        </w:tabs>
        <w:ind w:right="283"/>
      </w:pPr>
      <w:r w:rsidRPr="00FF4937">
        <w:t>Eine Abarbeitung der Probe nicht möglich ist, da</w:t>
      </w:r>
      <w:r w:rsidRPr="00FF4937">
        <w:br/>
        <w:t>a) keine Analyse angefordert ist</w:t>
      </w:r>
      <w:r w:rsidRPr="00FF4937">
        <w:br/>
        <w:t>b) das falsche Material für die angeforderte Analyse eingesendet wurde</w:t>
      </w:r>
      <w:r w:rsidRPr="00FF4937">
        <w:br/>
        <w:t>c) die Probengefäße leer eingelangt sind</w:t>
      </w:r>
      <w:r w:rsidRPr="00FF4937">
        <w:br/>
        <w:t>d) die Probengefäße verunreinigt oder beschädigt sind</w:t>
      </w:r>
      <w:r w:rsidRPr="00FF4937">
        <w:br/>
        <w:t>e) die angeforderte Analyse nicht im Untersuchungsprogramm enthalten ist</w:t>
      </w:r>
    </w:p>
    <w:p w:rsidR="002E34BC" w:rsidRPr="00FF4937" w:rsidRDefault="002E34BC" w:rsidP="002E34BC">
      <w:pPr>
        <w:tabs>
          <w:tab w:val="left" w:pos="8931"/>
        </w:tabs>
        <w:ind w:right="283"/>
      </w:pPr>
    </w:p>
    <w:p w:rsidR="002E34BC" w:rsidRPr="005E284D" w:rsidRDefault="002E34BC" w:rsidP="00007CB1">
      <w:pPr>
        <w:pStyle w:val="Listenabsatz"/>
        <w:numPr>
          <w:ilvl w:val="0"/>
          <w:numId w:val="7"/>
        </w:numPr>
        <w:tabs>
          <w:tab w:val="left" w:pos="8931"/>
        </w:tabs>
        <w:ind w:right="283"/>
      </w:pPr>
      <w:r w:rsidRPr="00FF4937">
        <w:t>Spezielle Gründe für den Bereich Mikrobiologie:</w:t>
      </w:r>
      <w:r w:rsidRPr="00FF4937">
        <w:br/>
        <w:t>a) Zeitpunkt der Abnahme liegt &gt; 24 h zurück, kein Transportmedium</w:t>
      </w:r>
      <w:r w:rsidRPr="00FF4937">
        <w:br/>
        <w:t>b) Zeitpunkt der Abnahme liegt &gt; 48 h zurück</w:t>
      </w:r>
      <w:r w:rsidR="00FF4937">
        <w:br/>
        <w:t>c)</w:t>
      </w:r>
      <w:r w:rsidR="00FF4937" w:rsidRPr="00FF4937">
        <w:rPr>
          <w:rFonts w:ascii="Arial" w:eastAsiaTheme="minorHAnsi" w:hAnsi="Arial" w:cs="Arial"/>
          <w:sz w:val="26"/>
          <w:szCs w:val="26"/>
          <w:lang w:val="de-AT" w:eastAsia="en-US"/>
        </w:rPr>
        <w:t xml:space="preserve"> </w:t>
      </w:r>
      <w:r w:rsidR="00FF4937" w:rsidRPr="00FF4937">
        <w:rPr>
          <w:lang w:val="de-AT"/>
        </w:rPr>
        <w:t>keine Lokalisationsangabe vorhanden ist</w:t>
      </w:r>
    </w:p>
    <w:p w:rsidR="00007CB1" w:rsidRDefault="00007CB1" w:rsidP="005E284D">
      <w:pPr>
        <w:pStyle w:val="Listenabsatz"/>
      </w:pPr>
    </w:p>
    <w:p w:rsidR="002F4F5E" w:rsidRPr="00BF5EF2" w:rsidRDefault="00007CB1" w:rsidP="00007CB1">
      <w:r>
        <w:t xml:space="preserve">Spezielle Gründe für den Bereich </w:t>
      </w:r>
      <w:r w:rsidR="0021758D">
        <w:t>Virologie</w:t>
      </w:r>
      <w:r>
        <w:t>:</w:t>
      </w:r>
      <w:r>
        <w:br/>
        <w:t>a)</w:t>
      </w:r>
      <w:r w:rsidRPr="00007CB1">
        <w:t xml:space="preserve"> Proben von PatientInnen mit Verdacht auf Kategorie A Erregern im Sinne des ADR Klasse 6.2 (UN-Nummer 2814, ansteckungsgefährlicher Stoff, gefährlich für Menschen) </w:t>
      </w:r>
    </w:p>
    <w:p w:rsidR="00273C4A" w:rsidRDefault="00273C4A"/>
    <w:p w:rsidR="00273C4A" w:rsidRDefault="00273C4A"/>
    <w:sectPr w:rsidR="00273C4A" w:rsidSect="00910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49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CB1" w:rsidRDefault="00007CB1">
      <w:r>
        <w:separator/>
      </w:r>
    </w:p>
  </w:endnote>
  <w:endnote w:type="continuationSeparator" w:id="0">
    <w:p w:rsidR="00007CB1" w:rsidRDefault="00007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9F" w:rsidRDefault="009106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75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7"/>
      <w:gridCol w:w="3186"/>
      <w:gridCol w:w="3187"/>
    </w:tblGrid>
    <w:tr w:rsidR="0091069F" w:rsidTr="0091069F">
      <w:trPr>
        <w:jc w:val="center"/>
      </w:trPr>
      <w:tc>
        <w:tcPr>
          <w:tcW w:w="3354" w:type="dxa"/>
        </w:tcPr>
        <w:p w:rsidR="0091069F" w:rsidRDefault="0091069F" w:rsidP="0091069F">
          <w:pPr>
            <w:pStyle w:val="Fuzeile"/>
            <w:rPr>
              <w:sz w:val="14"/>
              <w:szCs w:val="16"/>
            </w:rPr>
          </w:pPr>
          <w:r>
            <w:rPr>
              <w:sz w:val="14"/>
              <w:szCs w:val="16"/>
            </w:rPr>
            <w:t xml:space="preserve">Erstellung: </w:t>
          </w:r>
        </w:p>
      </w:tc>
      <w:tc>
        <w:tcPr>
          <w:tcW w:w="3354" w:type="dxa"/>
        </w:tcPr>
        <w:p w:rsidR="0091069F" w:rsidRDefault="0091069F" w:rsidP="0091069F">
          <w:pPr>
            <w:pStyle w:val="Fuzeile"/>
            <w:jc w:val="center"/>
            <w:rPr>
              <w:sz w:val="14"/>
              <w:szCs w:val="16"/>
            </w:rPr>
          </w:pPr>
          <w:r>
            <w:rPr>
              <w:sz w:val="14"/>
              <w:szCs w:val="16"/>
            </w:rPr>
            <w:t xml:space="preserve">Prüfung: </w:t>
          </w:r>
        </w:p>
      </w:tc>
      <w:tc>
        <w:tcPr>
          <w:tcW w:w="3355" w:type="dxa"/>
        </w:tcPr>
        <w:p w:rsidR="0091069F" w:rsidRDefault="0091069F" w:rsidP="0091069F">
          <w:pPr>
            <w:pStyle w:val="Fuzeile"/>
            <w:jc w:val="right"/>
            <w:rPr>
              <w:sz w:val="14"/>
              <w:szCs w:val="16"/>
            </w:rPr>
          </w:pPr>
          <w:r>
            <w:rPr>
              <w:sz w:val="14"/>
              <w:szCs w:val="16"/>
            </w:rPr>
            <w:t xml:space="preserve">Freigabe: </w:t>
          </w:r>
        </w:p>
      </w:tc>
    </w:tr>
    <w:tr w:rsidR="0091069F" w:rsidTr="0091069F">
      <w:trPr>
        <w:jc w:val="center"/>
      </w:trPr>
      <w:tc>
        <w:tcPr>
          <w:tcW w:w="3354" w:type="dxa"/>
        </w:tcPr>
        <w:p w:rsidR="0091069F" w:rsidRDefault="0091069F" w:rsidP="0091069F">
          <w:pPr>
            <w:pStyle w:val="Fuzeile"/>
            <w:rPr>
              <w:sz w:val="14"/>
              <w:szCs w:val="16"/>
            </w:rPr>
          </w:pPr>
          <w:r>
            <w:rPr>
              <w:sz w:val="14"/>
              <w:szCs w:val="16"/>
            </w:rPr>
            <w:t>Belegschaft (Koord.)</w:t>
          </w:r>
        </w:p>
      </w:tc>
      <w:tc>
        <w:tcPr>
          <w:tcW w:w="3354" w:type="dxa"/>
        </w:tcPr>
        <w:p w:rsidR="0091069F" w:rsidRDefault="0091069F" w:rsidP="0091069F">
          <w:pPr>
            <w:pStyle w:val="Fuzeile"/>
            <w:jc w:val="center"/>
            <w:rPr>
              <w:sz w:val="14"/>
              <w:szCs w:val="16"/>
            </w:rPr>
          </w:pPr>
          <w:r>
            <w:rPr>
              <w:sz w:val="14"/>
              <w:szCs w:val="16"/>
            </w:rPr>
            <w:t>BereichsleiterIn</w:t>
          </w:r>
        </w:p>
      </w:tc>
      <w:tc>
        <w:tcPr>
          <w:tcW w:w="3355" w:type="dxa"/>
        </w:tcPr>
        <w:p w:rsidR="0091069F" w:rsidRDefault="0091069F" w:rsidP="0091069F">
          <w:pPr>
            <w:pStyle w:val="Fuzeile"/>
            <w:jc w:val="right"/>
            <w:rPr>
              <w:sz w:val="14"/>
              <w:szCs w:val="16"/>
            </w:rPr>
          </w:pPr>
          <w:r>
            <w:rPr>
              <w:sz w:val="14"/>
              <w:szCs w:val="16"/>
            </w:rPr>
            <w:t>BereichsleiterIn</w:t>
          </w:r>
        </w:p>
      </w:tc>
    </w:tr>
  </w:tbl>
  <w:p w:rsidR="0091069F" w:rsidRPr="0091069F" w:rsidRDefault="0091069F" w:rsidP="0091069F">
    <w:pPr>
      <w:pStyle w:val="Fuzeile"/>
      <w:rPr>
        <w:sz w:val="8"/>
        <w:szCs w:val="16"/>
      </w:rPr>
    </w:pPr>
  </w:p>
  <w:tbl>
    <w:tblPr>
      <w:tblStyle w:val="Tabellenraster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341"/>
      <w:gridCol w:w="3861"/>
      <w:gridCol w:w="2711"/>
    </w:tblGrid>
    <w:tr w:rsidR="0091069F" w:rsidRPr="0091069F" w:rsidTr="00086EB8">
      <w:tc>
        <w:tcPr>
          <w:tcW w:w="3403" w:type="dxa"/>
        </w:tcPr>
        <w:p w:rsidR="0091069F" w:rsidRPr="0091069F" w:rsidRDefault="0091069F" w:rsidP="0091069F">
          <w:pPr>
            <w:pStyle w:val="Fuzeile"/>
            <w:rPr>
              <w:sz w:val="14"/>
              <w:szCs w:val="16"/>
            </w:rPr>
          </w:pPr>
          <w:r w:rsidRPr="0091069F">
            <w:rPr>
              <w:sz w:val="14"/>
              <w:szCs w:val="16"/>
            </w:rPr>
            <w:t xml:space="preserve">Druckdatum: </w:t>
          </w:r>
          <w:r w:rsidRPr="0091069F">
            <w:rPr>
              <w:sz w:val="14"/>
              <w:szCs w:val="16"/>
            </w:rPr>
            <w:fldChar w:fldCharType="begin"/>
          </w:r>
          <w:r w:rsidRPr="0091069F">
            <w:rPr>
              <w:sz w:val="14"/>
              <w:szCs w:val="16"/>
            </w:rPr>
            <w:instrText xml:space="preserve"> PRINTDATE   \* MERGEFORMAT </w:instrText>
          </w:r>
          <w:r w:rsidRPr="0091069F">
            <w:rPr>
              <w:sz w:val="14"/>
              <w:szCs w:val="16"/>
            </w:rPr>
            <w:fldChar w:fldCharType="separate"/>
          </w:r>
          <w:r w:rsidRPr="0091069F">
            <w:rPr>
              <w:noProof/>
              <w:sz w:val="14"/>
              <w:szCs w:val="16"/>
            </w:rPr>
            <w:t>00.00.0000 00:00:00</w:t>
          </w:r>
          <w:r w:rsidRPr="0091069F">
            <w:rPr>
              <w:sz w:val="14"/>
              <w:szCs w:val="16"/>
            </w:rPr>
            <w:fldChar w:fldCharType="end"/>
          </w:r>
        </w:p>
      </w:tc>
      <w:tc>
        <w:tcPr>
          <w:tcW w:w="3964" w:type="dxa"/>
        </w:tcPr>
        <w:p w:rsidR="0091069F" w:rsidRPr="0091069F" w:rsidRDefault="0091069F" w:rsidP="0091069F">
          <w:pPr>
            <w:pStyle w:val="Fuzeile"/>
            <w:rPr>
              <w:sz w:val="14"/>
              <w:szCs w:val="16"/>
            </w:rPr>
          </w:pPr>
        </w:p>
      </w:tc>
      <w:tc>
        <w:tcPr>
          <w:tcW w:w="2772" w:type="dxa"/>
        </w:tcPr>
        <w:p w:rsidR="0091069F" w:rsidRPr="0091069F" w:rsidRDefault="0091069F" w:rsidP="0091069F">
          <w:pPr>
            <w:pStyle w:val="Fuzeile"/>
            <w:jc w:val="right"/>
            <w:rPr>
              <w:sz w:val="14"/>
              <w:szCs w:val="16"/>
            </w:rPr>
          </w:pPr>
          <w:r w:rsidRPr="0091069F">
            <w:rPr>
              <w:sz w:val="14"/>
              <w:szCs w:val="16"/>
            </w:rPr>
            <w:t xml:space="preserve">Seite </w:t>
          </w:r>
          <w:r w:rsidRPr="0091069F">
            <w:rPr>
              <w:sz w:val="14"/>
              <w:szCs w:val="16"/>
            </w:rPr>
            <w:fldChar w:fldCharType="begin"/>
          </w:r>
          <w:r w:rsidRPr="0091069F">
            <w:rPr>
              <w:sz w:val="14"/>
              <w:szCs w:val="16"/>
            </w:rPr>
            <w:instrText xml:space="preserve"> PAGE   \* MERGEFORMAT </w:instrText>
          </w:r>
          <w:r w:rsidRPr="0091069F">
            <w:rPr>
              <w:sz w:val="14"/>
              <w:szCs w:val="16"/>
            </w:rPr>
            <w:fldChar w:fldCharType="separate"/>
          </w:r>
          <w:r w:rsidR="00FD4988">
            <w:rPr>
              <w:noProof/>
              <w:sz w:val="14"/>
              <w:szCs w:val="16"/>
            </w:rPr>
            <w:t>1</w:t>
          </w:r>
          <w:r w:rsidRPr="0091069F">
            <w:rPr>
              <w:sz w:val="14"/>
              <w:szCs w:val="16"/>
            </w:rPr>
            <w:fldChar w:fldCharType="end"/>
          </w:r>
          <w:r w:rsidRPr="0091069F">
            <w:rPr>
              <w:sz w:val="14"/>
              <w:szCs w:val="16"/>
            </w:rPr>
            <w:t>/</w:t>
          </w:r>
          <w:r w:rsidRPr="0091069F">
            <w:rPr>
              <w:sz w:val="14"/>
              <w:szCs w:val="16"/>
            </w:rPr>
            <w:fldChar w:fldCharType="begin"/>
          </w:r>
          <w:r w:rsidRPr="0091069F">
            <w:rPr>
              <w:sz w:val="14"/>
              <w:szCs w:val="16"/>
            </w:rPr>
            <w:instrText xml:space="preserve"> NUMPAGES   \* MERGEFORMAT </w:instrText>
          </w:r>
          <w:r w:rsidRPr="0091069F">
            <w:rPr>
              <w:sz w:val="14"/>
              <w:szCs w:val="16"/>
            </w:rPr>
            <w:fldChar w:fldCharType="separate"/>
          </w:r>
          <w:r w:rsidR="00FD4988">
            <w:rPr>
              <w:noProof/>
              <w:sz w:val="14"/>
              <w:szCs w:val="16"/>
            </w:rPr>
            <w:t>1</w:t>
          </w:r>
          <w:r w:rsidRPr="0091069F">
            <w:rPr>
              <w:sz w:val="14"/>
              <w:szCs w:val="16"/>
            </w:rPr>
            <w:fldChar w:fldCharType="end"/>
          </w:r>
        </w:p>
      </w:tc>
    </w:tr>
  </w:tbl>
  <w:p w:rsidR="0091069F" w:rsidRPr="0091069F" w:rsidRDefault="0091069F" w:rsidP="0091069F">
    <w:pPr>
      <w:pStyle w:val="Fuzeile"/>
      <w:jc w:val="center"/>
      <w:rPr>
        <w:rStyle w:val="Seitenzahl"/>
        <w:sz w:val="14"/>
        <w:szCs w:val="16"/>
      </w:rPr>
    </w:pPr>
    <w:r w:rsidRPr="0091069F">
      <w:rPr>
        <w:sz w:val="14"/>
        <w:szCs w:val="16"/>
      </w:rPr>
      <w:t xml:space="preserve">Informationsexemplar, unterliegt nicht dem Änderungsdienst </w:t>
    </w:r>
  </w:p>
  <w:p w:rsidR="00007CB1" w:rsidRPr="0091069F" w:rsidRDefault="00007CB1" w:rsidP="0091069F">
    <w:pPr>
      <w:pStyle w:val="Fuzeile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9F" w:rsidRDefault="009106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CB1" w:rsidRDefault="00007CB1">
      <w:r>
        <w:separator/>
      </w:r>
    </w:p>
  </w:footnote>
  <w:footnote w:type="continuationSeparator" w:id="0">
    <w:p w:rsidR="00007CB1" w:rsidRDefault="00007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9F" w:rsidRDefault="009106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567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03"/>
      <w:gridCol w:w="5248"/>
      <w:gridCol w:w="2516"/>
    </w:tblGrid>
    <w:tr w:rsidR="0091069F" w:rsidTr="00086EB8">
      <w:tc>
        <w:tcPr>
          <w:tcW w:w="2803" w:type="dxa"/>
          <w:vAlign w:val="center"/>
        </w:tcPr>
        <w:p w:rsidR="0091069F" w:rsidRDefault="0091069F" w:rsidP="0091069F">
          <w:pPr>
            <w:pStyle w:val="Kopfzeile"/>
            <w:jc w:val="both"/>
          </w:pPr>
          <w:r>
            <w:rPr>
              <w:noProof/>
              <w:lang w:eastAsia="de-DE"/>
            </w:rPr>
            <w:drawing>
              <wp:inline distT="0" distB="0" distL="0" distR="0" wp14:anchorId="1E88AC25" wp14:editId="7C40CDA5">
                <wp:extent cx="135255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8" w:type="dxa"/>
          <w:vAlign w:val="center"/>
        </w:tcPr>
        <w:p w:rsidR="0091069F" w:rsidRDefault="0091069F" w:rsidP="0091069F">
          <w:pPr>
            <w:pStyle w:val="Kopfzeile"/>
            <w:jc w:val="center"/>
          </w:pPr>
          <w:r>
            <w:rPr>
              <w:i/>
              <w:noProof/>
              <w:lang w:eastAsia="de-DE"/>
            </w:rPr>
            <w:drawing>
              <wp:inline distT="0" distB="0" distL="0" distR="0" wp14:anchorId="5D1E3AB6" wp14:editId="6BBF370D">
                <wp:extent cx="1524000" cy="476250"/>
                <wp:effectExtent l="0" t="0" r="0" b="0"/>
                <wp:docPr id="2" name="Bild 2" descr="KILM logo NEU 2010 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ILM logo NEU 2010 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1069F" w:rsidRDefault="0091069F" w:rsidP="0091069F">
          <w:pPr>
            <w:pStyle w:val="Kopfzeile"/>
            <w:jc w:val="center"/>
          </w:pPr>
        </w:p>
      </w:tc>
      <w:tc>
        <w:tcPr>
          <w:tcW w:w="2516" w:type="dxa"/>
          <w:vAlign w:val="center"/>
        </w:tcPr>
        <w:p w:rsidR="0091069F" w:rsidRDefault="0091069F" w:rsidP="0091069F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21AFCCE2" wp14:editId="7053C7F3">
                <wp:extent cx="838200" cy="600075"/>
                <wp:effectExtent l="0" t="0" r="0" b="9525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069F" w:rsidTr="00086EB8">
      <w:tc>
        <w:tcPr>
          <w:tcW w:w="2803" w:type="dxa"/>
          <w:vAlign w:val="center"/>
        </w:tcPr>
        <w:p w:rsidR="0091069F" w:rsidRDefault="0091069F" w:rsidP="0091069F">
          <w:pPr>
            <w:pStyle w:val="Kopfzeile"/>
            <w:jc w:val="both"/>
            <w:rPr>
              <w:noProof/>
              <w:lang w:val="de-AT"/>
            </w:rPr>
          </w:pPr>
          <w:r>
            <w:rPr>
              <w:noProof/>
              <w:lang w:val="de-AT"/>
            </w:rPr>
            <w:t>Version Nr.: 2</w:t>
          </w:r>
        </w:p>
      </w:tc>
      <w:tc>
        <w:tcPr>
          <w:tcW w:w="5248" w:type="dxa"/>
          <w:vAlign w:val="center"/>
        </w:tcPr>
        <w:p w:rsidR="0091069F" w:rsidRPr="0061382B" w:rsidRDefault="0091069F" w:rsidP="0091069F">
          <w:pPr>
            <w:pStyle w:val="Titel"/>
            <w:rPr>
              <w:i/>
              <w:noProof/>
              <w:sz w:val="24"/>
              <w:szCs w:val="24"/>
              <w:lang w:val="de-AT"/>
            </w:rPr>
          </w:pPr>
          <w:r w:rsidRPr="0061382B">
            <w:rPr>
              <w:sz w:val="24"/>
              <w:szCs w:val="24"/>
              <w:lang w:val="de-AT"/>
            </w:rPr>
            <w:t xml:space="preserve">Nr: </w:t>
          </w:r>
          <w:r>
            <w:rPr>
              <w:sz w:val="24"/>
              <w:szCs w:val="24"/>
              <w:lang w:val="de-AT"/>
            </w:rPr>
            <w:t>43842</w:t>
          </w:r>
          <w:r w:rsidRPr="0061382B">
            <w:rPr>
              <w:sz w:val="24"/>
              <w:szCs w:val="24"/>
              <w:lang w:val="de-AT"/>
            </w:rPr>
            <w:t xml:space="preserve"> </w:t>
          </w:r>
          <w:r>
            <w:rPr>
              <w:sz w:val="24"/>
              <w:szCs w:val="24"/>
              <w:lang w:val="de-AT"/>
            </w:rPr>
            <w:t>Kriterien für Rückweisung von Proben</w:t>
          </w:r>
          <w:r w:rsidRPr="0061382B">
            <w:rPr>
              <w:sz w:val="24"/>
              <w:szCs w:val="24"/>
              <w:lang w:val="de-AT"/>
            </w:rPr>
            <w:t xml:space="preserve"> </w:t>
          </w:r>
        </w:p>
      </w:tc>
      <w:tc>
        <w:tcPr>
          <w:tcW w:w="2516" w:type="dxa"/>
          <w:vAlign w:val="center"/>
        </w:tcPr>
        <w:p w:rsidR="0091069F" w:rsidRPr="0022676E" w:rsidRDefault="0091069F" w:rsidP="0091069F">
          <w:pPr>
            <w:pStyle w:val="Kopfzeile"/>
            <w:rPr>
              <w:noProof/>
              <w:sz w:val="16"/>
              <w:szCs w:val="16"/>
              <w:lang w:val="de-AT"/>
            </w:rPr>
          </w:pPr>
          <w:r w:rsidRPr="0022676E">
            <w:rPr>
              <w:noProof/>
              <w:sz w:val="16"/>
              <w:szCs w:val="16"/>
              <w:lang w:val="de-AT"/>
            </w:rPr>
            <w:t>gültig ab:</w:t>
          </w:r>
          <w:r>
            <w:rPr>
              <w:noProof/>
              <w:sz w:val="16"/>
              <w:szCs w:val="16"/>
              <w:lang w:val="de-AT"/>
            </w:rPr>
            <w:t xml:space="preserve"> 15.12.2021</w:t>
          </w:r>
        </w:p>
      </w:tc>
    </w:tr>
    <w:tr w:rsidR="0091069F" w:rsidTr="00086EB8">
      <w:tc>
        <w:tcPr>
          <w:tcW w:w="10567" w:type="dxa"/>
          <w:gridSpan w:val="3"/>
        </w:tcPr>
        <w:p w:rsidR="0091069F" w:rsidRPr="0022676E" w:rsidRDefault="0091069F" w:rsidP="0091069F">
          <w:pPr>
            <w:pStyle w:val="Kopfzeile"/>
            <w:jc w:val="center"/>
            <w:rPr>
              <w:noProof/>
              <w:sz w:val="16"/>
              <w:szCs w:val="16"/>
              <w:lang w:val="de-AT"/>
            </w:rPr>
          </w:pPr>
          <w:r>
            <w:rPr>
              <w:color w:val="000080"/>
              <w:sz w:val="20"/>
              <w:lang w:val="de-AT"/>
            </w:rPr>
            <w:t>Total Quality Management - Stabsstelle</w:t>
          </w:r>
        </w:p>
      </w:tc>
    </w:tr>
    <w:tr w:rsidR="0091069F" w:rsidTr="00086EB8">
      <w:tc>
        <w:tcPr>
          <w:tcW w:w="10567" w:type="dxa"/>
          <w:gridSpan w:val="3"/>
        </w:tcPr>
        <w:p w:rsidR="0091069F" w:rsidRPr="0022676E" w:rsidRDefault="0091069F" w:rsidP="0091069F">
          <w:pPr>
            <w:pStyle w:val="Kopfzeile"/>
            <w:jc w:val="center"/>
            <w:rPr>
              <w:noProof/>
              <w:sz w:val="16"/>
              <w:szCs w:val="16"/>
              <w:lang w:val="de-AT"/>
            </w:rPr>
          </w:pPr>
          <w:r>
            <w:rPr>
              <w:color w:val="000080"/>
              <w:sz w:val="20"/>
              <w:lang w:val="de-AT"/>
            </w:rPr>
            <w:t>Organisations-SOP</w:t>
          </w:r>
        </w:p>
      </w:tc>
    </w:tr>
  </w:tbl>
  <w:p w:rsidR="00007CB1" w:rsidRPr="0091069F" w:rsidRDefault="00007CB1" w:rsidP="0091069F">
    <w:pPr>
      <w:pStyle w:val="Kopfzeile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69F" w:rsidRDefault="009106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3178"/>
    <w:multiLevelType w:val="hybridMultilevel"/>
    <w:tmpl w:val="FCA031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F6C"/>
    <w:multiLevelType w:val="singleLevel"/>
    <w:tmpl w:val="CFAA65C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3112F4F"/>
    <w:multiLevelType w:val="hybridMultilevel"/>
    <w:tmpl w:val="640C9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B7087"/>
    <w:multiLevelType w:val="hybridMultilevel"/>
    <w:tmpl w:val="69A68D3A"/>
    <w:lvl w:ilvl="0" w:tplc="1B48DB08">
      <w:start w:val="1"/>
      <w:numFmt w:val="bullet"/>
      <w:lvlText w:val="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E2F06"/>
    <w:multiLevelType w:val="hybridMultilevel"/>
    <w:tmpl w:val="57BC42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95635"/>
    <w:multiLevelType w:val="hybridMultilevel"/>
    <w:tmpl w:val="CADC10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FF6ABD"/>
    <w:multiLevelType w:val="hybridMultilevel"/>
    <w:tmpl w:val="01BA8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0E4571"/>
    <w:multiLevelType w:val="singleLevel"/>
    <w:tmpl w:val="F0605218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BF56650"/>
    <w:multiLevelType w:val="hybridMultilevel"/>
    <w:tmpl w:val="E342EE44"/>
    <w:lvl w:ilvl="0" w:tplc="0407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63"/>
    <w:rsid w:val="00007CB1"/>
    <w:rsid w:val="00030C3F"/>
    <w:rsid w:val="00031218"/>
    <w:rsid w:val="00111CBA"/>
    <w:rsid w:val="001212DA"/>
    <w:rsid w:val="00125600"/>
    <w:rsid w:val="001B2B76"/>
    <w:rsid w:val="001D71B5"/>
    <w:rsid w:val="0021758D"/>
    <w:rsid w:val="00222314"/>
    <w:rsid w:val="00273C4A"/>
    <w:rsid w:val="002B4D4B"/>
    <w:rsid w:val="002E34BC"/>
    <w:rsid w:val="002F4F5E"/>
    <w:rsid w:val="00305299"/>
    <w:rsid w:val="00335CA5"/>
    <w:rsid w:val="003B036F"/>
    <w:rsid w:val="003B074D"/>
    <w:rsid w:val="003B46B5"/>
    <w:rsid w:val="0042375F"/>
    <w:rsid w:val="00470CFA"/>
    <w:rsid w:val="004B66EB"/>
    <w:rsid w:val="00534214"/>
    <w:rsid w:val="005A4E99"/>
    <w:rsid w:val="005D45BA"/>
    <w:rsid w:val="005E284D"/>
    <w:rsid w:val="00635996"/>
    <w:rsid w:val="006A074B"/>
    <w:rsid w:val="006E5521"/>
    <w:rsid w:val="007D5CB2"/>
    <w:rsid w:val="008A488D"/>
    <w:rsid w:val="0091069F"/>
    <w:rsid w:val="00940EF9"/>
    <w:rsid w:val="00A13EC1"/>
    <w:rsid w:val="00B00301"/>
    <w:rsid w:val="00B24363"/>
    <w:rsid w:val="00B25A58"/>
    <w:rsid w:val="00B25E32"/>
    <w:rsid w:val="00BF5EF2"/>
    <w:rsid w:val="00C42045"/>
    <w:rsid w:val="00F833DA"/>
    <w:rsid w:val="00FD4988"/>
    <w:rsid w:val="00FF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8F9ADC96-3F78-4D82-AC87-BEB007D1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berschrift3">
    <w:name w:val="heading 3"/>
    <w:basedOn w:val="berschrift1"/>
    <w:next w:val="berschrift2"/>
    <w:qFormat/>
    <w:pPr>
      <w:jc w:val="center"/>
      <w:outlineLvl w:val="2"/>
    </w:pPr>
    <w:rPr>
      <w:rFonts w:ascii="Antique Olive" w:hAnsi="Antique Olive"/>
      <w:sz w:val="24"/>
    </w:rPr>
  </w:style>
  <w:style w:type="paragraph" w:styleId="berschrift4">
    <w:name w:val="heading 4"/>
    <w:basedOn w:val="Standard"/>
    <w:next w:val="Standard"/>
    <w:qFormat/>
    <w:pPr>
      <w:keepNext/>
      <w:ind w:left="708"/>
      <w:outlineLvl w:val="3"/>
    </w:pPr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Verzeichnis1">
    <w:name w:val="toc 1"/>
    <w:basedOn w:val="Standard"/>
    <w:next w:val="Standard"/>
    <w:semiHidden/>
    <w:pPr>
      <w:tabs>
        <w:tab w:val="right" w:pos="9071"/>
      </w:tabs>
      <w:spacing w:before="120" w:after="120"/>
    </w:pPr>
    <w:rPr>
      <w:rFonts w:ascii="Arial" w:hAnsi="Arial"/>
      <w:b/>
      <w:caps/>
    </w:rPr>
  </w:style>
  <w:style w:type="paragraph" w:styleId="Kommentartext">
    <w:name w:val="annotation text"/>
    <w:basedOn w:val="Standard"/>
    <w:semiHidden/>
    <w:rPr>
      <w:b/>
      <w:i/>
      <w:sz w:val="12"/>
      <w:lang w:eastAsia="de-DE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NurText">
    <w:name w:val="Plain Text"/>
    <w:basedOn w:val="Standard"/>
    <w:rPr>
      <w:rFonts w:ascii="Courier New" w:hAnsi="Courier New"/>
      <w:vanish/>
      <w:sz w:val="20"/>
      <w:lang w:eastAsia="de-DE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071"/>
      </w:tabs>
      <w:ind w:left="240"/>
    </w:pPr>
    <w:rPr>
      <w:sz w:val="20"/>
      <w:lang w:eastAsia="de-DE"/>
    </w:rPr>
  </w:style>
  <w:style w:type="paragraph" w:customStyle="1" w:styleId="Aenderungsstatus">
    <w:name w:val="Aenderungsstatus"/>
    <w:basedOn w:val="berschrift2"/>
    <w:rsid w:val="00B24363"/>
    <w:rPr>
      <w:lang w:eastAsia="de-DE"/>
    </w:rPr>
  </w:style>
  <w:style w:type="paragraph" w:customStyle="1" w:styleId="mitgeltendeDokumente">
    <w:name w:val="mitgeltende_Dokumente"/>
    <w:basedOn w:val="berschrift1"/>
    <w:rsid w:val="00B24363"/>
    <w:rPr>
      <w:lang w:eastAsia="de-DE"/>
    </w:rPr>
  </w:style>
  <w:style w:type="paragraph" w:styleId="Kopfzeile">
    <w:name w:val="header"/>
    <w:basedOn w:val="Standard"/>
    <w:link w:val="KopfzeileZchn"/>
    <w:rsid w:val="00F833DA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paragraph" w:styleId="Fuzeile">
    <w:name w:val="footer"/>
    <w:basedOn w:val="Standard"/>
    <w:rsid w:val="00F833DA"/>
    <w:pPr>
      <w:tabs>
        <w:tab w:val="center" w:pos="4536"/>
        <w:tab w:val="right" w:pos="9072"/>
      </w:tabs>
    </w:pPr>
    <w:rPr>
      <w:rFonts w:ascii="Verdana" w:hAnsi="Verdana"/>
      <w:sz w:val="18"/>
    </w:rPr>
  </w:style>
  <w:style w:type="character" w:styleId="Seitenzahl">
    <w:name w:val="page number"/>
    <w:basedOn w:val="Absatz-Standardschriftart"/>
    <w:rsid w:val="00A13EC1"/>
  </w:style>
  <w:style w:type="character" w:customStyle="1" w:styleId="KopfzeileZchn">
    <w:name w:val="Kopfzeile Zchn"/>
    <w:basedOn w:val="Absatz-Standardschriftart"/>
    <w:link w:val="Kopfzeile"/>
    <w:locked/>
    <w:rsid w:val="00470CFA"/>
    <w:rPr>
      <w:rFonts w:ascii="Verdana" w:hAnsi="Verdana"/>
      <w:sz w:val="18"/>
      <w:lang w:val="de-DE" w:eastAsia="de-AT" w:bidi="ar-SA"/>
    </w:rPr>
  </w:style>
  <w:style w:type="paragraph" w:styleId="Sprechblasentext">
    <w:name w:val="Balloon Text"/>
    <w:basedOn w:val="Standard"/>
    <w:link w:val="SprechblasentextZchn"/>
    <w:rsid w:val="004B66E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B66EB"/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3B4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F5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für Rückweisung von Proben</vt:lpstr>
    </vt:vector>
  </TitlesOfParts>
  <Company>Total Quality Management - Stabsstelle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für Rückweisung von Proben</dc:title>
  <dc:subject/>
  <dc:creator>a.o. Univ. Prof. Dr. Monika Fritzer-Szekeres</dc:creator>
  <cp:keywords/>
  <dc:description/>
  <cp:lastModifiedBy>Müller Wilfried</cp:lastModifiedBy>
  <cp:revision>2</cp:revision>
  <dcterms:created xsi:type="dcterms:W3CDTF">2022-11-08T08:22:00Z</dcterms:created>
  <dcterms:modified xsi:type="dcterms:W3CDTF">2022-11-08T08:22:00Z</dcterms:modified>
</cp:coreProperties>
</file>